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7A8F" w14:textId="1C59EE36" w:rsidR="005146AD" w:rsidRPr="00F549C8" w:rsidRDefault="00F549C8" w:rsidP="0071258D">
      <w:pPr>
        <w:ind w:left="720" w:firstLine="720"/>
        <w:jc w:val="both"/>
        <w:rPr>
          <w:rFonts w:ascii="Times New Roman" w:hAnsi="Times New Roman" w:cs="Times New Roman"/>
          <w:b/>
          <w:bCs/>
          <w:color w:val="52556F"/>
          <w:sz w:val="24"/>
          <w:szCs w:val="24"/>
          <w:shd w:val="clear" w:color="auto" w:fill="FFFFFF"/>
          <w:lang w:val="kk-KZ"/>
        </w:rPr>
      </w:pPr>
      <w:r w:rsidRPr="00F549C8">
        <w:rPr>
          <w:rFonts w:ascii="Times New Roman" w:hAnsi="Times New Roman" w:cs="Times New Roman"/>
          <w:b/>
          <w:bCs/>
          <w:color w:val="52556F"/>
          <w:sz w:val="24"/>
          <w:szCs w:val="24"/>
          <w:shd w:val="clear" w:color="auto" w:fill="FFFFFF"/>
          <w:lang w:val="kk-KZ"/>
        </w:rPr>
        <w:t>Дата репортаж және деректер трансформациясы</w:t>
      </w:r>
    </w:p>
    <w:p w14:paraId="4D76F692" w14:textId="5E95FD8B" w:rsidR="0071258D" w:rsidRDefault="0071258D" w:rsidP="0071258D">
      <w:pPr>
        <w:ind w:left="720" w:firstLine="720"/>
        <w:jc w:val="both"/>
        <w:rPr>
          <w:rFonts w:ascii="Times New Roman" w:hAnsi="Times New Roman" w:cs="Times New Roman"/>
          <w:b/>
          <w:bCs/>
          <w:color w:val="52556F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52556F"/>
          <w:sz w:val="24"/>
          <w:szCs w:val="24"/>
          <w:shd w:val="clear" w:color="auto" w:fill="FFFFFF"/>
          <w:lang w:val="kk-KZ"/>
        </w:rPr>
        <w:t>12 Лек Технологиялық талдау: Нұсқалық кескін</w:t>
      </w:r>
    </w:p>
    <w:p w14:paraId="5141A0D2" w14:textId="77777777" w:rsidR="0071258D" w:rsidRDefault="0071258D" w:rsidP="005146AD">
      <w:pPr>
        <w:ind w:firstLine="720"/>
        <w:jc w:val="both"/>
        <w:rPr>
          <w:rFonts w:ascii="Times New Roman" w:hAnsi="Times New Roman" w:cs="Times New Roman"/>
          <w:b/>
          <w:bCs/>
          <w:color w:val="52556F"/>
          <w:sz w:val="24"/>
          <w:szCs w:val="24"/>
          <w:shd w:val="clear" w:color="auto" w:fill="FFFFFF"/>
          <w:lang w:val="kk-KZ"/>
        </w:rPr>
      </w:pPr>
    </w:p>
    <w:p w14:paraId="7015ED57" w14:textId="67DE2BC2" w:rsidR="00AD056F" w:rsidRPr="00F549C8" w:rsidRDefault="005146AD" w:rsidP="005146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49C8">
        <w:rPr>
          <w:rFonts w:ascii="Times New Roman" w:hAnsi="Times New Roman" w:cs="Times New Roman"/>
          <w:b/>
          <w:bCs/>
          <w:color w:val="52556F"/>
          <w:sz w:val="24"/>
          <w:szCs w:val="24"/>
          <w:shd w:val="clear" w:color="auto" w:fill="FFFFFF"/>
          <w:lang w:val="kk-KZ"/>
        </w:rPr>
        <w:t>Интернет көзінен ақпарат түсүсін</w:t>
      </w:r>
      <w:r w:rsidR="00F549C8">
        <w:rPr>
          <w:rFonts w:ascii="Times New Roman" w:hAnsi="Times New Roman" w:cs="Times New Roman"/>
          <w:b/>
          <w:bCs/>
          <w:color w:val="52556F"/>
          <w:sz w:val="24"/>
          <w:szCs w:val="24"/>
          <w:shd w:val="clear" w:color="auto" w:fill="FFFFFF"/>
          <w:lang w:val="kk-KZ"/>
        </w:rPr>
        <w:t>ік</w:t>
      </w:r>
      <w:r w:rsidRPr="00F549C8">
        <w:rPr>
          <w:rFonts w:ascii="Times New Roman" w:hAnsi="Times New Roman" w:cs="Times New Roman"/>
          <w:b/>
          <w:bCs/>
          <w:color w:val="52556F"/>
          <w:sz w:val="24"/>
          <w:szCs w:val="24"/>
          <w:shd w:val="clear" w:color="auto" w:fill="FFFFFF"/>
          <w:lang w:val="kk-KZ"/>
        </w:rPr>
        <w:t>.</w:t>
      </w:r>
      <w:r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Көптеген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зерттеулер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көру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жүйесінде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жаңа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бейненің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туылуын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қамтамасыз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ететін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механизмдер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бар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екенін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көрсетеді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Олардың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арқасында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адам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әлемді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шын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мәнінде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бар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күйінде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ғана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емес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,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сондай-ақ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болуы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мүмкін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(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немесе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болуы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керек)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ретінде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де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көре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алады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Бұл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көрнекі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бейнелердің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қажетті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шарт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екенін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білдіреді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,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одан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да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ақыл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-ой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әрекетінің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құралы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болып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табылады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Олар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таңбалармен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және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сөйлеумен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,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адамды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қоршаған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объективті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шындықпен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салыстырғанда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тікелей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байланысты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Кескін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тек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қана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ойлау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емес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,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шындықты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рекреациялау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болып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табылады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Ол,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бұл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шындық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, объект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шын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мәнінде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бар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нысанда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(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немесе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оған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жақын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)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қайта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жасалуы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мүмкін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Бірақ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объектіні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,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жағдайды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жоюға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және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оның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жаңа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нұсқасын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немесе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нұсқаларын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қайта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жасауға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болады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Шындықпен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салыстырғанда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өзгерген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осы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бейненің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негізінде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адам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қайтадан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объективті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шындыққа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бет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бұрады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және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оны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өзінің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практикалық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іс-әрекетінде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қайта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құрады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шығармашылықпен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ойлайтын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маманды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оның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бейнелі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бейнесін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,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қиялын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,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ойлауын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дамытпай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дайындау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мүмкін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емес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Бұл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мәселеде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нақты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пайданы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проекциялық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схематизмнің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әмбебап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аппараты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қамтамасыз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етеді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Кеңістіктік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бейнелерді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қалыптастыру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үшін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қолданылатын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проекциялық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модельдеудің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маңызды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құралдарының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бірі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геометриялық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интерпретация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болып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табылады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Түсіндіру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объектілері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сызбалар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,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диаграммалар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,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мәтіндер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,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диаграммалар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және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т.б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комбинациясы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түріндегі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графикалық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модельдер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болып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табылады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Графикалық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модельдер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ақпаратты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графикалық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бейнелеу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құралдарының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жиынтығы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түріндегі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ақпаратты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бейнелеуді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қамтиды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: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сызықтар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,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символдар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,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қолданылатын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мнемоникалық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белгілер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графикалық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модельдерді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құру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ережелеріне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сәйкес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Бұл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формадағы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ақпаратты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қабылдау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кезінде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мәтінді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қабылдаудан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гөрі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жоғарырақ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операциялық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кеңістікті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енгізу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қажет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.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Ақпараттық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объектіні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оның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моделімен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салыстыру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кезіндегі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дәлдік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дәрежесі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модельдеу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кезінде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орын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алған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проекциялық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аппарат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туралы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ақпараттың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толықтығына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 xml:space="preserve"> </w:t>
      </w:r>
      <w:proofErr w:type="spellStart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байланысты</w:t>
      </w:r>
      <w:proofErr w:type="spellEnd"/>
      <w:r w:rsidR="009A2A0C" w:rsidRPr="00F549C8">
        <w:rPr>
          <w:rFonts w:ascii="Times New Roman" w:hAnsi="Times New Roman" w:cs="Times New Roman"/>
          <w:color w:val="52556F"/>
          <w:sz w:val="24"/>
          <w:szCs w:val="24"/>
          <w:shd w:val="clear" w:color="auto" w:fill="FFFFFF"/>
        </w:rPr>
        <w:t>. </w:t>
      </w:r>
    </w:p>
    <w:sectPr w:rsidR="00AD056F" w:rsidRPr="00F5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65"/>
    <w:rsid w:val="003956DE"/>
    <w:rsid w:val="003E5565"/>
    <w:rsid w:val="005146AD"/>
    <w:rsid w:val="0071258D"/>
    <w:rsid w:val="009A2A0C"/>
    <w:rsid w:val="00AD056F"/>
    <w:rsid w:val="00F5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4638"/>
  <w15:chartTrackingRefBased/>
  <w15:docId w15:val="{95316989-D6B7-4325-973F-8B9CD610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</cp:revision>
  <dcterms:created xsi:type="dcterms:W3CDTF">2023-04-18T18:50:00Z</dcterms:created>
  <dcterms:modified xsi:type="dcterms:W3CDTF">2023-04-18T18:55:00Z</dcterms:modified>
</cp:coreProperties>
</file>